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FA50" w14:textId="1F913968" w:rsidR="001805C5" w:rsidRDefault="001805C5" w:rsidP="00AA4513">
      <w:pPr>
        <w:spacing w:line="240" w:lineRule="auto"/>
        <w:jc w:val="both"/>
        <w:rPr>
          <w:rFonts w:ascii="Proxima Nova Light" w:eastAsia="Times New Roman" w:hAnsi="Proxima Nova Light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ascii="Proxima Nova Light" w:eastAsia="Times New Roman" w:hAnsi="Proxima Nova Light" w:cstheme="minorHAnsi"/>
          <w:b/>
          <w:bCs/>
          <w:color w:val="333333"/>
          <w:sz w:val="28"/>
          <w:szCs w:val="28"/>
          <w:lang w:eastAsia="pl-PL"/>
        </w:rPr>
        <w:t xml:space="preserve">Wyciąg z procedury Grodno S.A. Zgłoszenia Wewnętrzne i Ochrona Sygnalisty </w:t>
      </w:r>
      <w:r w:rsidRPr="001805C5">
        <w:rPr>
          <w:rFonts w:ascii="Proxima Nova Light" w:eastAsia="Times New Roman" w:hAnsi="Proxima Nova Light" w:cstheme="minorHAnsi"/>
          <w:color w:val="333333"/>
          <w:sz w:val="24"/>
          <w:szCs w:val="24"/>
          <w:lang w:eastAsia="pl-PL"/>
        </w:rPr>
        <w:t>(pełna treść procedury dostępna jest po wejściu w link</w:t>
      </w:r>
      <w:r>
        <w:rPr>
          <w:rFonts w:ascii="Proxima Nova Light" w:eastAsia="Times New Roman" w:hAnsi="Proxima Nova Light" w:cstheme="minorHAnsi"/>
          <w:color w:val="333333"/>
          <w:sz w:val="24"/>
          <w:szCs w:val="24"/>
          <w:lang w:eastAsia="pl-PL"/>
        </w:rPr>
        <w:t xml:space="preserve"> systemu zgłaszania naruszeń)</w:t>
      </w:r>
    </w:p>
    <w:p w14:paraId="6356A38B" w14:textId="5A9DB1B3" w:rsidR="008C0E46" w:rsidRPr="00AA4513" w:rsidRDefault="008C0E46" w:rsidP="00AA4513">
      <w:pPr>
        <w:spacing w:line="240" w:lineRule="auto"/>
        <w:jc w:val="both"/>
        <w:rPr>
          <w:rFonts w:ascii="Proxima Nova Light" w:hAnsi="Proxima Nova Light"/>
          <w:b/>
          <w:bCs/>
          <w:color w:val="2B2B2B"/>
          <w:sz w:val="28"/>
          <w:szCs w:val="28"/>
          <w:shd w:val="clear" w:color="auto" w:fill="FFFEE2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sz w:val="28"/>
          <w:szCs w:val="28"/>
          <w:lang w:eastAsia="pl-PL"/>
        </w:rPr>
        <w:t>Definicje</w:t>
      </w:r>
    </w:p>
    <w:p w14:paraId="0C133D0D" w14:textId="1B8912D1" w:rsidR="008C0E46" w:rsidRPr="00AA4513" w:rsidRDefault="008C0E46" w:rsidP="00AA4513">
      <w:pPr>
        <w:spacing w:line="240" w:lineRule="auto"/>
        <w:jc w:val="both"/>
        <w:rPr>
          <w:rFonts w:ascii="Proxima Nova Light" w:eastAsia="Times New Roman" w:hAnsi="Proxima Nova Light" w:cstheme="minorHAnsi"/>
          <w:color w:val="333333"/>
          <w:lang w:eastAsia="pl-PL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lang w:eastAsia="pl-PL"/>
        </w:rPr>
        <w:t>Nieprawidłowość, naruszenie</w:t>
      </w:r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 xml:space="preserve"> – każde działanie lub zaniechanie będące naruszeniem prawa (wymienione w pkt. 4) lub ustalonych w GK procedur zawartych w Księdze Jakości, do którego doszło lub prawdopodobnie dojdzie w podmiocie prawnym.</w:t>
      </w:r>
    </w:p>
    <w:p w14:paraId="5919D0D8" w14:textId="77777777" w:rsidR="008C0E46" w:rsidRPr="00AA4513" w:rsidRDefault="008C0E46" w:rsidP="00AA4513">
      <w:pPr>
        <w:spacing w:line="240" w:lineRule="auto"/>
        <w:jc w:val="both"/>
        <w:rPr>
          <w:rFonts w:ascii="Proxima Nova Light" w:eastAsia="Times New Roman" w:hAnsi="Proxima Nova Light" w:cstheme="minorHAnsi"/>
          <w:color w:val="333333"/>
          <w:lang w:eastAsia="pl-PL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lang w:eastAsia="pl-PL"/>
        </w:rPr>
        <w:t>Zgłoszenie</w:t>
      </w:r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 xml:space="preserve"> – informacja o naruszeniu lub próbie ukrycia naruszenia </w:t>
      </w:r>
    </w:p>
    <w:p w14:paraId="692AFC82" w14:textId="77777777" w:rsidR="008C0E46" w:rsidRPr="00AA4513" w:rsidRDefault="008C0E46" w:rsidP="00AA4513">
      <w:pPr>
        <w:spacing w:line="240" w:lineRule="auto"/>
        <w:jc w:val="both"/>
        <w:rPr>
          <w:rFonts w:ascii="Proxima Nova Light" w:eastAsia="Times New Roman" w:hAnsi="Proxima Nova Light" w:cstheme="minorHAnsi"/>
          <w:color w:val="333333"/>
          <w:lang w:eastAsia="pl-PL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lang w:eastAsia="pl-PL"/>
        </w:rPr>
        <w:t>Sygnalista</w:t>
      </w:r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 xml:space="preserve"> (</w:t>
      </w:r>
      <w:r w:rsidRPr="00AA4513">
        <w:rPr>
          <w:rFonts w:ascii="Proxima Nova Light" w:eastAsia="Times New Roman" w:hAnsi="Proxima Nova Light" w:cstheme="minorHAnsi"/>
          <w:b/>
          <w:bCs/>
          <w:color w:val="333333"/>
          <w:lang w:eastAsia="pl-PL"/>
        </w:rPr>
        <w:t>Zgłaszający)</w:t>
      </w:r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 xml:space="preserve"> - osoba fizyczna, która zgłasza lub ujawnia informację o naruszeniu prawa, uzyskaną w kontekście związanym z pracą, w tym m.in. pracownik – także w przypadku, gdy stosunek pracy już ustał lub dopiero ma zostać nawiązany (dotyczy: umowy o pracę, umowy cywilnoprawnej, prowadzenia działalności gospodarczej przez osobę fizyczną, kontraktu menedżerskiego, wolontariatu, stażu, praktyki, akcjonariuszy, członków Rady Nadzorczej, a także osób świadczących pracę na rzecz podmiotów, z którymi grupa Grodno utrzymuje relacje gospodarcze jak: wykonawcy, podwykonawcy lub dostawcy) </w:t>
      </w:r>
    </w:p>
    <w:p w14:paraId="3126040F" w14:textId="77777777" w:rsidR="008C0E46" w:rsidRPr="00AA4513" w:rsidRDefault="008C0E46" w:rsidP="00AA4513">
      <w:pPr>
        <w:spacing w:line="240" w:lineRule="auto"/>
        <w:jc w:val="both"/>
        <w:rPr>
          <w:rFonts w:ascii="Proxima Nova Light" w:hAnsi="Proxima Nova Light" w:cs="Arial"/>
          <w:color w:val="000000"/>
        </w:rPr>
      </w:pPr>
      <w:r w:rsidRPr="00AA4513">
        <w:rPr>
          <w:rFonts w:ascii="Proxima Nova Light" w:hAnsi="Proxima Nova Light" w:cs="Arial"/>
          <w:color w:val="000000"/>
        </w:rPr>
        <w:t>Zgłaszającym (sygnalistą) jest osoba, która dokonuje zgłoszenia wewnętrznego, zgłoszenia zewnętrznego bądź ujawnienia publicznego.</w:t>
      </w:r>
    </w:p>
    <w:p w14:paraId="773A6BC2" w14:textId="77777777" w:rsidR="008C0E46" w:rsidRPr="00AA4513" w:rsidRDefault="008C0E46" w:rsidP="00AA4513">
      <w:pPr>
        <w:spacing w:line="240" w:lineRule="auto"/>
        <w:jc w:val="both"/>
        <w:rPr>
          <w:rFonts w:ascii="Proxima Nova Light" w:eastAsia="Times New Roman" w:hAnsi="Proxima Nova Light" w:cstheme="minorHAnsi"/>
          <w:color w:val="333333"/>
          <w:lang w:eastAsia="pl-PL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lang w:eastAsia="pl-PL"/>
        </w:rPr>
        <w:t xml:space="preserve">Działania następcze – </w:t>
      </w:r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>działania osób upoważnionych do przyjmowania zgłoszeń, mające na celu ocenę prawdziwości informacji zawartych w zgłoszeniu oraz przeciwdziałanie naruszeniu prawa (np. postępowania wyjaśniające, wszczęcie kontroli).</w:t>
      </w:r>
    </w:p>
    <w:p w14:paraId="48AE0C57" w14:textId="77777777" w:rsidR="008C0E46" w:rsidRPr="00AA4513" w:rsidRDefault="008C0E46" w:rsidP="00AA4513">
      <w:pPr>
        <w:spacing w:line="240" w:lineRule="auto"/>
        <w:jc w:val="both"/>
        <w:rPr>
          <w:rFonts w:ascii="Proxima Nova Light" w:eastAsia="Times New Roman" w:hAnsi="Proxima Nova Light" w:cstheme="minorHAnsi"/>
          <w:color w:val="333333"/>
          <w:lang w:eastAsia="pl-PL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lang w:eastAsia="pl-PL"/>
        </w:rPr>
        <w:t>Działania odwetowe</w:t>
      </w:r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 xml:space="preserve"> – bezpośrednie lub pośrednie działanie lub zaniechanie w kontekście związanym z pracą, które jest spowodowane zgłoszeniem i które narusza lub może naruszyć prawa sygnalisty lub wyrządza lub może wyrządzić nieuzasadnioną szkodę sygnaliście, w tym bezpodstawne inicjowanie postępowań przeciwko sygnaliście (np. rozwiązanie umowy, obniżenie wynagrodzenia, ograniczenie możliwości awansu, </w:t>
      </w:r>
      <w:proofErr w:type="spellStart"/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>mobbing</w:t>
      </w:r>
      <w:proofErr w:type="spellEnd"/>
      <w:r w:rsidRPr="00AA4513">
        <w:rPr>
          <w:rFonts w:ascii="Proxima Nova Light" w:eastAsia="Times New Roman" w:hAnsi="Proxima Nova Light" w:cstheme="minorHAnsi"/>
          <w:color w:val="333333"/>
          <w:lang w:eastAsia="pl-PL"/>
        </w:rPr>
        <w:t xml:space="preserve"> itp.)</w:t>
      </w:r>
    </w:p>
    <w:p w14:paraId="6164F35D" w14:textId="0D93637A" w:rsidR="00AA4513" w:rsidRPr="00AA4513" w:rsidRDefault="00AA4513" w:rsidP="00AA4513">
      <w:pPr>
        <w:spacing w:line="240" w:lineRule="auto"/>
        <w:jc w:val="both"/>
        <w:rPr>
          <w:rFonts w:ascii="Proxima Nova Light" w:hAnsi="Proxima Nova Light"/>
          <w:b/>
          <w:bCs/>
          <w:color w:val="2B2B2B"/>
          <w:sz w:val="28"/>
          <w:szCs w:val="28"/>
          <w:shd w:val="clear" w:color="auto" w:fill="FFFEE2"/>
        </w:rPr>
      </w:pPr>
      <w:r w:rsidRPr="00AA4513">
        <w:rPr>
          <w:rFonts w:ascii="Proxima Nova Light" w:eastAsia="Times New Roman" w:hAnsi="Proxima Nova Light" w:cstheme="minorHAnsi"/>
          <w:b/>
          <w:bCs/>
          <w:color w:val="333333"/>
          <w:sz w:val="28"/>
          <w:szCs w:val="28"/>
          <w:lang w:eastAsia="pl-PL"/>
        </w:rPr>
        <w:t>Postanowienia ogólne</w:t>
      </w:r>
    </w:p>
    <w:p w14:paraId="0C4F93E1" w14:textId="77777777" w:rsidR="008C0E46" w:rsidRPr="00710658" w:rsidRDefault="008C0E46" w:rsidP="008C0E46">
      <w:p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710658">
        <w:rPr>
          <w:rFonts w:ascii="Proxima Nova Light" w:eastAsia="Times New Roman" w:hAnsi="Proxima Nova Light" w:cs="Times New Roman"/>
          <w:color w:val="333333"/>
          <w:lang w:eastAsia="pl-PL"/>
        </w:rPr>
        <w:t>Naruszeniem prawa jest działanie lub zaniechanie niezgodne z prawem lub mające na celu obejście prawa dotyczące:</w:t>
      </w:r>
    </w:p>
    <w:p w14:paraId="63E8D55C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korupcji,</w:t>
      </w:r>
    </w:p>
    <w:p w14:paraId="764E1438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zamówień publicznych,</w:t>
      </w:r>
    </w:p>
    <w:p w14:paraId="2C6A9478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usług, produktów i rynków finansowych,</w:t>
      </w:r>
    </w:p>
    <w:p w14:paraId="0FCE7745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przeciwdziałania praniu pieniędzy i finansowaniu terroryzmu,</w:t>
      </w:r>
    </w:p>
    <w:p w14:paraId="7EC243F7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bezpieczeństwa produktów i ich zgodności z wymogami,</w:t>
      </w:r>
    </w:p>
    <w:p w14:paraId="7DB659E1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bezpieczeństwa transportu,</w:t>
      </w:r>
    </w:p>
    <w:p w14:paraId="57A31661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ochrony środowiska,</w:t>
      </w:r>
    </w:p>
    <w:p w14:paraId="269E7B01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ochrony radiologicznej i bezpieczeństwa jądrowego,</w:t>
      </w:r>
    </w:p>
    <w:p w14:paraId="28E1A131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bezpieczeństwa żywności i pasz,</w:t>
      </w:r>
    </w:p>
    <w:p w14:paraId="72F1A7BE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zdrowia i dobrostanu zwierząt,</w:t>
      </w:r>
    </w:p>
    <w:p w14:paraId="3BBD2726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zdrowia publicznego,</w:t>
      </w:r>
    </w:p>
    <w:p w14:paraId="6293B1D9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ochrony konsumentów,</w:t>
      </w:r>
    </w:p>
    <w:p w14:paraId="571AB1E4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ochrony prywatności i danych osobowych,</w:t>
      </w:r>
    </w:p>
    <w:p w14:paraId="36274C6C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bezpieczeństwa sieci i systemów teleinformatycznych,</w:t>
      </w:r>
    </w:p>
    <w:p w14:paraId="1CABA7D9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interesów finansowych Skarbu Państwa Rzeczypospolitej Polskiej, jednostki samorządu terytorialnego oraz Unii Europejskiej,</w:t>
      </w:r>
    </w:p>
    <w:p w14:paraId="0052F6CB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lastRenderedPageBreak/>
        <w:t>rynku wewnętrznego Unii Europejskiej, w tym publicznoprawnych zasad konkurencji i pomocy państwa oraz opodatkowania osób prawnych,</w:t>
      </w:r>
    </w:p>
    <w:p w14:paraId="09D27DC0" w14:textId="77777777" w:rsidR="008C0E46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 w:rsidRPr="00AD2FCF">
        <w:rPr>
          <w:rFonts w:ascii="Proxima Nova Light" w:eastAsia="Times New Roman" w:hAnsi="Proxima Nova Light" w:cs="Times New Roman"/>
          <w:color w:val="333333"/>
          <w:lang w:eastAsia="pl-PL"/>
        </w:rPr>
        <w:t>konstytucyjnych wolności i praw człowieka i obywatela – występujące w stosunkach jednostki z organami władzy publicznej i niezwiązane z dziedzinami wskazanymi w punktach powyżej,</w:t>
      </w:r>
    </w:p>
    <w:p w14:paraId="6B2EE479" w14:textId="77777777" w:rsidR="008C0E46" w:rsidRDefault="008C0E46" w:rsidP="008C0E46">
      <w:p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</w:p>
    <w:p w14:paraId="00FFE73E" w14:textId="77777777" w:rsidR="008C0E46" w:rsidRPr="00710658" w:rsidRDefault="008C0E46" w:rsidP="008C0E46">
      <w:p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  <w:r>
        <w:rPr>
          <w:rFonts w:ascii="Proxima Nova Light" w:eastAsia="Times New Roman" w:hAnsi="Proxima Nova Light" w:cs="Times New Roman"/>
          <w:color w:val="333333"/>
          <w:lang w:eastAsia="pl-PL"/>
        </w:rPr>
        <w:t>Zgodnie z regulacjami wewnętrznymi i standardami etycznymi Grodno, za naruszenia prawa będą traktowane również</w:t>
      </w:r>
      <w:r w:rsidRPr="00C93818">
        <w:rPr>
          <w:rFonts w:ascii="Proxima Nova Light" w:eastAsia="Times New Roman" w:hAnsi="Proxima Nova Light" w:cs="Times New Roman"/>
          <w:color w:val="333333"/>
          <w:lang w:eastAsia="pl-PL"/>
        </w:rPr>
        <w:t xml:space="preserve"> </w:t>
      </w:r>
      <w:r w:rsidRPr="00710658">
        <w:rPr>
          <w:rFonts w:ascii="Proxima Nova Light" w:eastAsia="Times New Roman" w:hAnsi="Proxima Nova Light" w:cs="Times New Roman"/>
          <w:color w:val="333333"/>
          <w:lang w:eastAsia="pl-PL"/>
        </w:rPr>
        <w:t>działani</w:t>
      </w:r>
      <w:r>
        <w:rPr>
          <w:rFonts w:ascii="Proxima Nova Light" w:eastAsia="Times New Roman" w:hAnsi="Proxima Nova Light" w:cs="Times New Roman"/>
          <w:color w:val="333333"/>
          <w:lang w:eastAsia="pl-PL"/>
        </w:rPr>
        <w:t>a</w:t>
      </w:r>
      <w:r w:rsidRPr="00710658">
        <w:rPr>
          <w:rFonts w:ascii="Proxima Nova Light" w:eastAsia="Times New Roman" w:hAnsi="Proxima Nova Light" w:cs="Times New Roman"/>
          <w:color w:val="333333"/>
          <w:lang w:eastAsia="pl-PL"/>
        </w:rPr>
        <w:t xml:space="preserve"> lub zaniechani</w:t>
      </w:r>
      <w:r>
        <w:rPr>
          <w:rFonts w:ascii="Proxima Nova Light" w:eastAsia="Times New Roman" w:hAnsi="Proxima Nova Light" w:cs="Times New Roman"/>
          <w:color w:val="333333"/>
          <w:lang w:eastAsia="pl-PL"/>
        </w:rPr>
        <w:t>a</w:t>
      </w:r>
      <w:r w:rsidRPr="00710658">
        <w:rPr>
          <w:rFonts w:ascii="Proxima Nova Light" w:eastAsia="Times New Roman" w:hAnsi="Proxima Nova Light" w:cs="Times New Roman"/>
          <w:color w:val="333333"/>
          <w:lang w:eastAsia="pl-PL"/>
        </w:rPr>
        <w:t xml:space="preserve"> niezgodne z prawem lub mające na celu obejście prawa dotyczące:</w:t>
      </w:r>
    </w:p>
    <w:p w14:paraId="7456F270" w14:textId="77777777" w:rsidR="008C0E46" w:rsidRPr="00C24BC3" w:rsidRDefault="008C0E46" w:rsidP="008C0E46">
      <w:pPr>
        <w:spacing w:after="0" w:line="240" w:lineRule="auto"/>
        <w:jc w:val="both"/>
        <w:rPr>
          <w:rFonts w:ascii="Proxima Nova Light" w:eastAsia="Times New Roman" w:hAnsi="Proxima Nova Light" w:cs="Times New Roman"/>
          <w:color w:val="333333"/>
          <w:lang w:eastAsia="pl-PL"/>
        </w:rPr>
      </w:pPr>
    </w:p>
    <w:p w14:paraId="469FA661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AD2FCF">
        <w:rPr>
          <w:rFonts w:ascii="Proxima Nova Light" w:eastAsia="Times New Roman" w:hAnsi="Proxima Nova Light" w:cs="Times New Roman"/>
          <w:lang w:eastAsia="pl-PL"/>
        </w:rPr>
        <w:t>przestępstw gospodarczych i działania na szkodę Spółki, w tym: kradzieży, oszustwa, fałszerstwa, zniszczenia mienia,</w:t>
      </w:r>
    </w:p>
    <w:p w14:paraId="75BEA7A2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AD2FCF">
        <w:rPr>
          <w:rFonts w:ascii="Proxima Nova Light" w:eastAsia="Times New Roman" w:hAnsi="Proxima Nova Light" w:cs="Times New Roman"/>
          <w:lang w:eastAsia="pl-PL"/>
        </w:rPr>
        <w:t>konfliktu interesów,</w:t>
      </w:r>
    </w:p>
    <w:p w14:paraId="2E31EE3C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AD2FCF">
        <w:rPr>
          <w:rFonts w:ascii="Proxima Nova Light" w:eastAsia="Times New Roman" w:hAnsi="Proxima Nova Light" w:cs="Times New Roman"/>
          <w:lang w:eastAsia="pl-PL"/>
        </w:rPr>
        <w:t>nadużywania pozycji i pełnionej funkcji,</w:t>
      </w:r>
    </w:p>
    <w:p w14:paraId="4C8D3B5A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AD2FCF">
        <w:rPr>
          <w:rFonts w:ascii="Proxima Nova Light" w:eastAsia="Times New Roman" w:hAnsi="Proxima Nova Light" w:cs="Times New Roman"/>
          <w:lang w:eastAsia="pl-PL"/>
        </w:rPr>
        <w:t xml:space="preserve">łamania praw pracowniczych, naruszeń bezpieczeństwa i higieny pracy, </w:t>
      </w:r>
      <w:proofErr w:type="spellStart"/>
      <w:r w:rsidRPr="00AD2FCF">
        <w:rPr>
          <w:rFonts w:ascii="Proxima Nova Light" w:eastAsia="Times New Roman" w:hAnsi="Proxima Nova Light" w:cs="Times New Roman"/>
          <w:lang w:eastAsia="pl-PL"/>
        </w:rPr>
        <w:t>mobbingu</w:t>
      </w:r>
      <w:proofErr w:type="spellEnd"/>
      <w:r w:rsidRPr="00AD2FCF">
        <w:rPr>
          <w:rFonts w:ascii="Proxima Nova Light" w:eastAsia="Times New Roman" w:hAnsi="Proxima Nova Light" w:cs="Times New Roman"/>
          <w:lang w:eastAsia="pl-PL"/>
        </w:rPr>
        <w:t>, molestowania, dyskryminacji,</w:t>
      </w:r>
    </w:p>
    <w:p w14:paraId="612AD771" w14:textId="77777777" w:rsidR="008C0E46" w:rsidRPr="00AD2FCF" w:rsidRDefault="008C0E46" w:rsidP="008C0E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AD2FCF">
        <w:rPr>
          <w:rFonts w:ascii="Proxima Nova Light" w:eastAsia="Times New Roman" w:hAnsi="Proxima Nova Light" w:cs="Times New Roman"/>
          <w:lang w:eastAsia="pl-PL"/>
        </w:rPr>
        <w:t>zgłoszenia i nieprawidłowości dotyczące Zarządu, Działu Kadr i Compliance.</w:t>
      </w:r>
    </w:p>
    <w:p w14:paraId="4397EB88" w14:textId="77777777" w:rsidR="008C0E46" w:rsidRDefault="008C0E46" w:rsidP="008C0E46">
      <w:pPr>
        <w:spacing w:after="0" w:line="240" w:lineRule="auto"/>
        <w:jc w:val="both"/>
        <w:rPr>
          <w:rFonts w:ascii="Proxima Nova Light" w:hAnsi="Proxima Nova Light" w:cs="Arial"/>
          <w:color w:val="000000"/>
        </w:rPr>
      </w:pPr>
    </w:p>
    <w:p w14:paraId="4DFD5671" w14:textId="0EA43A3E" w:rsidR="008C0E46" w:rsidRDefault="008C0E46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color w:val="77206D" w:themeColor="accent5" w:themeShade="BF"/>
          <w:lang w:eastAsia="pl-PL"/>
        </w:rPr>
      </w:pPr>
      <w:r>
        <w:rPr>
          <w:rFonts w:ascii="Proxima Nova Light" w:hAnsi="Proxima Nova Light" w:cs="Arial"/>
          <w:color w:val="000000"/>
        </w:rPr>
        <w:t>Sygnalista</w:t>
      </w:r>
      <w:r w:rsidRPr="006407C2">
        <w:rPr>
          <w:rFonts w:ascii="Proxima Nova Light" w:hAnsi="Proxima Nova Light" w:cs="Arial"/>
          <w:color w:val="000000"/>
        </w:rPr>
        <w:t xml:space="preserve"> powinien mieć uzasadnione podstawy, by sądzić, że będąca przedmiotem zgłoszenia informacja o naruszeniu jest prawdziwa w momencie dokonywania</w:t>
      </w:r>
      <w:r w:rsidRPr="00701D27">
        <w:rPr>
          <w:rFonts w:ascii="Proxima Nova Light" w:hAnsi="Proxima Nova Light" w:cs="Arial"/>
        </w:rPr>
        <w:t xml:space="preserve"> </w:t>
      </w:r>
      <w:r w:rsidRPr="00701D27">
        <w:rPr>
          <w:rFonts w:ascii="Proxima Nova Light" w:hAnsi="Proxima Nova Light" w:cs="Arial"/>
          <w:color w:val="000000"/>
        </w:rPr>
        <w:t>zgłoszenia.</w:t>
      </w:r>
    </w:p>
    <w:p w14:paraId="3BEE85BD" w14:textId="77777777" w:rsidR="00AA4513" w:rsidRPr="00AA4513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color w:val="77206D" w:themeColor="accent5" w:themeShade="BF"/>
          <w:lang w:eastAsia="pl-PL"/>
        </w:rPr>
      </w:pPr>
    </w:p>
    <w:p w14:paraId="2A4886B9" w14:textId="3B6523F9" w:rsidR="00AA4513" w:rsidRPr="00AA4513" w:rsidRDefault="00AA4513" w:rsidP="008C0E46">
      <w:pPr>
        <w:spacing w:line="240" w:lineRule="auto"/>
        <w:jc w:val="both"/>
        <w:rPr>
          <w:rFonts w:ascii="Proxima Nova Light" w:eastAsia="Times New Roman" w:hAnsi="Proxima Nova Light" w:cstheme="minorHAnsi"/>
          <w:color w:val="333333"/>
          <w:sz w:val="28"/>
          <w:szCs w:val="28"/>
          <w:lang w:eastAsia="pl-PL"/>
        </w:rPr>
      </w:pPr>
      <w:r w:rsidRPr="00AA4513"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  <w:t>Sposób dokonywania zgłoszeń wewnętrznych</w:t>
      </w:r>
    </w:p>
    <w:p w14:paraId="394040FF" w14:textId="488D7542" w:rsidR="00AA4513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916A0E">
        <w:rPr>
          <w:rFonts w:ascii="Proxima Nova Light" w:eastAsia="Times New Roman" w:hAnsi="Proxima Nova Light" w:cs="Times New Roman"/>
          <w:lang w:eastAsia="pl-PL"/>
        </w:rPr>
        <w:t>Sygnalista wypełnia formularz podając swoje dane, charakter powiązania z organizacją oraz adres do korespondencji. Może pozostać anonimowy. Następnie wybiera kanał zgłoszeń i obszar, którego dotyczy jego zgłoszenie z rozwijalnej listy. Wszystkie obszary, za wyjątkiem ostatniego są przyjmowane i rozpatrywane przez Zarząd, Compliance Officera oraz Kierownika Działu Kadr. Ostatni obszar: „Zgłoszenia i nieprawidłowości dotyczące Zarządu, Działu Kadr i Compliance” są przyjmowane i rozpatrywane przez Radę Nadzorczą.</w:t>
      </w:r>
    </w:p>
    <w:p w14:paraId="319362F4" w14:textId="77777777" w:rsidR="00AA4513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</w:p>
    <w:p w14:paraId="176E51D4" w14:textId="710A4203" w:rsidR="00AA4513" w:rsidRPr="00803981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Sygnalista</w:t>
      </w:r>
      <w:r w:rsidRPr="00803981">
        <w:rPr>
          <w:rFonts w:ascii="Proxima Nova Light" w:eastAsia="Times New Roman" w:hAnsi="Proxima Nova Light" w:cs="Times New Roman"/>
          <w:lang w:eastAsia="pl-PL"/>
        </w:rPr>
        <w:t xml:space="preserve"> powinien podać jak najbardziej dokładne dane np.: </w:t>
      </w:r>
    </w:p>
    <w:p w14:paraId="7E45F72C" w14:textId="77777777" w:rsidR="00AA4513" w:rsidRDefault="00AA4513" w:rsidP="00AA4513">
      <w:pPr>
        <w:pStyle w:val="Akapitzlist"/>
        <w:spacing w:after="0" w:line="240" w:lineRule="auto"/>
        <w:ind w:left="0"/>
        <w:jc w:val="both"/>
        <w:rPr>
          <w:rFonts w:ascii="Proxima Nova Light" w:eastAsia="Times New Roman" w:hAnsi="Proxima Nova Light" w:cs="Times New Roman"/>
          <w:lang w:eastAsia="pl-PL"/>
        </w:rPr>
      </w:pPr>
    </w:p>
    <w:p w14:paraId="5D2845EC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Opis sprawy będącej przedmiotem zgłoszenia</w:t>
      </w:r>
    </w:p>
    <w:p w14:paraId="6D0F6126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Dane osób, które mogą lub mogłyby mieć związek ze zgłaszaną nieprawidłowością (sprawca naruszenia, świadek, pokrzywdzony)</w:t>
      </w:r>
    </w:p>
    <w:p w14:paraId="020ED6A9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Data lub orientacyjna data zdarzenia</w:t>
      </w:r>
    </w:p>
    <w:p w14:paraId="0E4DBB95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Miejsce zdarzenia</w:t>
      </w:r>
    </w:p>
    <w:p w14:paraId="572200B9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Przyczyny zdarzenia, jeśli są sygnaliście znane</w:t>
      </w:r>
    </w:p>
    <w:p w14:paraId="4E828F86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Skutki zdarzenia</w:t>
      </w:r>
    </w:p>
    <w:p w14:paraId="01C8EB1D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Straty i konsekwencje</w:t>
      </w:r>
    </w:p>
    <w:p w14:paraId="13F06C70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Inne okoliczności, które mogą mieć wpływ na obiektywną ocenę zdarzenia</w:t>
      </w:r>
    </w:p>
    <w:p w14:paraId="097CC14F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Wskazać swoje dane kontaktowe (mail, ewentualnie telefon).</w:t>
      </w:r>
    </w:p>
    <w:p w14:paraId="1210BC28" w14:textId="77777777" w:rsidR="00AA4513" w:rsidRDefault="00AA4513" w:rsidP="00AA451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Sygnalista ma prawo dokonać zgłoszenia anonimowo, jednakże w takiej sytuacji nie otrzyma potwierdzenia otrzymania zgłoszenia oraz informacji zwrotnej. Zgłoszenia anonimowe mogą zostać nierozpatrzone.</w:t>
      </w:r>
    </w:p>
    <w:p w14:paraId="646A326E" w14:textId="77777777" w:rsidR="00AA4513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b/>
          <w:bCs/>
          <w:lang w:eastAsia="pl-PL"/>
        </w:rPr>
      </w:pPr>
    </w:p>
    <w:p w14:paraId="622E7996" w14:textId="297BD3B5" w:rsidR="008C0E46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</w:pPr>
      <w:r w:rsidRPr="00AA4513"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  <w:t>Ochrona zgłaszającego (sygnalisty)</w:t>
      </w:r>
    </w:p>
    <w:p w14:paraId="4C3DD6D6" w14:textId="77777777" w:rsidR="00AA4513" w:rsidRPr="00AA4513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</w:pPr>
    </w:p>
    <w:p w14:paraId="0BC011A6" w14:textId="77777777" w:rsidR="00AA4513" w:rsidRDefault="00AA4513" w:rsidP="00AA4513">
      <w:pPr>
        <w:pStyle w:val="Default"/>
        <w:jc w:val="both"/>
        <w:rPr>
          <w:rFonts w:ascii="Proxima Nova Light" w:hAnsi="Proxima Nova Light"/>
          <w:sz w:val="22"/>
          <w:szCs w:val="22"/>
        </w:rPr>
      </w:pPr>
      <w:r>
        <w:rPr>
          <w:rFonts w:ascii="Proxima Nova Light" w:hAnsi="Proxima Nova Light"/>
          <w:sz w:val="22"/>
          <w:szCs w:val="22"/>
        </w:rPr>
        <w:t xml:space="preserve">1. </w:t>
      </w:r>
      <w:r w:rsidRPr="00543FDA">
        <w:rPr>
          <w:rFonts w:ascii="Proxima Nova Light" w:hAnsi="Proxima Nova Light"/>
          <w:sz w:val="22"/>
          <w:szCs w:val="22"/>
        </w:rPr>
        <w:t xml:space="preserve">Jeżeli praca była, jest lub ma być świadczona na podstawie stosunku pracy, wobec </w:t>
      </w:r>
      <w:r>
        <w:rPr>
          <w:rFonts w:ascii="Proxima Nova Light" w:hAnsi="Proxima Nova Light"/>
          <w:sz w:val="22"/>
          <w:szCs w:val="22"/>
        </w:rPr>
        <w:t xml:space="preserve">sygnalisty </w:t>
      </w:r>
      <w:r w:rsidRPr="00543FDA">
        <w:rPr>
          <w:rFonts w:ascii="Proxima Nova Light" w:hAnsi="Proxima Nova Light"/>
          <w:sz w:val="22"/>
          <w:szCs w:val="22"/>
        </w:rPr>
        <w:t xml:space="preserve">nie mogą być podejmowanie działania odwetowe polegające w szczególności na: </w:t>
      </w:r>
    </w:p>
    <w:p w14:paraId="6271B7A3" w14:textId="77777777" w:rsidR="00AA4513" w:rsidRDefault="00AA4513" w:rsidP="00AA4513">
      <w:pPr>
        <w:pStyle w:val="Default"/>
        <w:jc w:val="both"/>
        <w:rPr>
          <w:rFonts w:ascii="Proxima Nova Light" w:hAnsi="Proxima Nova Light"/>
          <w:sz w:val="22"/>
          <w:szCs w:val="22"/>
        </w:rPr>
      </w:pPr>
      <w:r w:rsidRPr="00543FDA">
        <w:rPr>
          <w:rFonts w:ascii="Proxima Nova Light" w:hAnsi="Proxima Nova Light"/>
          <w:sz w:val="22"/>
          <w:szCs w:val="22"/>
        </w:rPr>
        <w:t xml:space="preserve">1) odmowie nawiązania stosunku pracy; </w:t>
      </w:r>
    </w:p>
    <w:p w14:paraId="3F9EDA1B" w14:textId="77777777" w:rsidR="00AA4513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sz w:val="22"/>
          <w:szCs w:val="22"/>
        </w:rPr>
        <w:lastRenderedPageBreak/>
        <w:t>2) wypowiedzeniu lub rozwiązaniu bez wypowiedzenia stosunku pracy;</w:t>
      </w:r>
      <w:r w:rsidRPr="00286913">
        <w:rPr>
          <w:rFonts w:ascii="Proxima Nova Light" w:hAnsi="Proxima Nova Light"/>
          <w:color w:val="auto"/>
          <w:sz w:val="22"/>
          <w:szCs w:val="22"/>
        </w:rPr>
        <w:t xml:space="preserve"> </w:t>
      </w:r>
    </w:p>
    <w:p w14:paraId="4C221B3E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3) </w:t>
      </w:r>
      <w:proofErr w:type="spellStart"/>
      <w:r w:rsidRPr="00543FDA">
        <w:rPr>
          <w:rFonts w:ascii="Proxima Nova Light" w:hAnsi="Proxima Nova Light"/>
          <w:color w:val="auto"/>
          <w:sz w:val="22"/>
          <w:szCs w:val="22"/>
        </w:rPr>
        <w:t>niezawarciu</w:t>
      </w:r>
      <w:proofErr w:type="spellEnd"/>
      <w:r w:rsidRPr="00543FDA">
        <w:rPr>
          <w:rFonts w:ascii="Proxima Nova Light" w:hAnsi="Proxima Nova Light"/>
          <w:color w:val="auto"/>
          <w:sz w:val="22"/>
          <w:szCs w:val="22"/>
        </w:rPr>
        <w:t xml:space="preserve"> umowy o pracę na czas określony lub umowy o pracę na czas nieokreślony po rozwiązaniu umowy o pracę na okres próbny, </w:t>
      </w:r>
      <w:proofErr w:type="spellStart"/>
      <w:r w:rsidRPr="00543FDA">
        <w:rPr>
          <w:rFonts w:ascii="Proxima Nova Light" w:hAnsi="Proxima Nova Light"/>
          <w:color w:val="auto"/>
          <w:sz w:val="22"/>
          <w:szCs w:val="22"/>
        </w:rPr>
        <w:t>niezawarciu</w:t>
      </w:r>
      <w:proofErr w:type="spellEnd"/>
      <w:r w:rsidRPr="00543FDA">
        <w:rPr>
          <w:rFonts w:ascii="Proxima Nova Light" w:hAnsi="Proxima Nova Light"/>
          <w:color w:val="auto"/>
          <w:sz w:val="22"/>
          <w:szCs w:val="22"/>
        </w:rPr>
        <w:t xml:space="preserve"> kolejnej umowy o pracę na czas określony lub </w:t>
      </w:r>
      <w:proofErr w:type="spellStart"/>
      <w:r w:rsidRPr="00543FDA">
        <w:rPr>
          <w:rFonts w:ascii="Proxima Nova Light" w:hAnsi="Proxima Nova Light"/>
          <w:color w:val="auto"/>
          <w:sz w:val="22"/>
          <w:szCs w:val="22"/>
        </w:rPr>
        <w:t>niezawarciu</w:t>
      </w:r>
      <w:proofErr w:type="spellEnd"/>
      <w:r w:rsidRPr="00543FDA">
        <w:rPr>
          <w:rFonts w:ascii="Proxima Nova Light" w:hAnsi="Proxima Nova Light"/>
          <w:color w:val="auto"/>
          <w:sz w:val="22"/>
          <w:szCs w:val="22"/>
        </w:rPr>
        <w:t xml:space="preserve"> umowy o pracę na czas nieokreślony, po rozwiązaniu umowy o pracę na czas określony – w przypadku gdy pracownik miał uzasadnione oczekiwanie, że zostanie z nim zawarta taka umowa; </w:t>
      </w:r>
    </w:p>
    <w:p w14:paraId="537C06C5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4) obniżeniu wysokości wynagrodzenia za pracę; </w:t>
      </w:r>
    </w:p>
    <w:p w14:paraId="581C86F6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5) wstrzymaniu awansu albo pominięciu przy awansowaniu; </w:t>
      </w:r>
    </w:p>
    <w:p w14:paraId="59726B93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6) pominięciu przy przyznawaniu innych niż wynagrodzenie świadczeń związanych z pracą lub obniżeniu wysokości tych świadczeń; </w:t>
      </w:r>
    </w:p>
    <w:p w14:paraId="1595C8F0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7) przeniesieniu pracownika na niższe stanowisko pracy; </w:t>
      </w:r>
    </w:p>
    <w:p w14:paraId="2E4A4D32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8) zawieszeniu w wykonywaniu obowiązków pracowniczych lub służbowych; </w:t>
      </w:r>
    </w:p>
    <w:p w14:paraId="73803EDE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9) przekazaniu innemu pracownikowi dotychczasowych obowiązków pracownika; </w:t>
      </w:r>
    </w:p>
    <w:p w14:paraId="19F8C456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10) niekorzystnej zmianie miejsca wykonywania pracy lub rozkładu czasu pracy; </w:t>
      </w:r>
    </w:p>
    <w:p w14:paraId="7790CA1E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11) negatywnej ocenie wyników pracy lub negatywnej opinii o pracy; </w:t>
      </w:r>
    </w:p>
    <w:p w14:paraId="08A6C78E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12) nałożeniu lub zastosowaniu środka dyscyplinarnego, w tym kary finansowej lub środka o podobnym charakterze; </w:t>
      </w:r>
    </w:p>
    <w:p w14:paraId="0142405F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13) przymusie, zastraszaniu lub wykluczeniu; </w:t>
      </w:r>
    </w:p>
    <w:p w14:paraId="65AC2F50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14) </w:t>
      </w:r>
      <w:proofErr w:type="spellStart"/>
      <w:r w:rsidRPr="00543FDA">
        <w:rPr>
          <w:rFonts w:ascii="Proxima Nova Light" w:hAnsi="Proxima Nova Light"/>
          <w:color w:val="auto"/>
          <w:sz w:val="22"/>
          <w:szCs w:val="22"/>
        </w:rPr>
        <w:t>mobbingu</w:t>
      </w:r>
      <w:proofErr w:type="spellEnd"/>
      <w:r w:rsidRPr="00543FDA">
        <w:rPr>
          <w:rFonts w:ascii="Proxima Nova Light" w:hAnsi="Proxima Nova Light"/>
          <w:color w:val="auto"/>
          <w:sz w:val="22"/>
          <w:szCs w:val="22"/>
        </w:rPr>
        <w:t xml:space="preserve">; </w:t>
      </w:r>
    </w:p>
    <w:p w14:paraId="199FEFC0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15) dyskryminacji; </w:t>
      </w:r>
    </w:p>
    <w:p w14:paraId="27BD55F8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16) niekorzystnym lub niesprawiedliwym traktowaniu; </w:t>
      </w:r>
    </w:p>
    <w:p w14:paraId="2597CDEF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17) wstrzymaniu udziału lub pominięciu przy typowaniu do udziału w szkoleniach podnoszących kwalifikacje zawodowe; </w:t>
      </w:r>
    </w:p>
    <w:p w14:paraId="4BC3FE33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>18) nieuzasadnionym skierowaniu na badania lekarskie, w tym badania psychiatryczne, o ile przepisy odrębne przewidują możliwość skierowania pracownika na takie badani</w:t>
      </w:r>
      <w:r>
        <w:rPr>
          <w:rFonts w:ascii="Proxima Nova Light" w:hAnsi="Proxima Nova Light"/>
          <w:color w:val="auto"/>
          <w:sz w:val="22"/>
          <w:szCs w:val="22"/>
        </w:rPr>
        <w:t>a</w:t>
      </w:r>
      <w:r w:rsidRPr="00543FDA">
        <w:rPr>
          <w:rFonts w:ascii="Proxima Nova Light" w:hAnsi="Proxima Nova Light"/>
          <w:color w:val="auto"/>
          <w:sz w:val="22"/>
          <w:szCs w:val="22"/>
        </w:rPr>
        <w:t xml:space="preserve">; </w:t>
      </w:r>
    </w:p>
    <w:p w14:paraId="38FBC318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19) działaniu zmierzającym do utrudnienia znalezienia w przyszłości pracy w danym sektorze lub branży na podstawie nieformalnego lub formalnego porozumienia sektorowego lub branżowego; </w:t>
      </w:r>
    </w:p>
    <w:p w14:paraId="2D783E05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20) spowodowaniu straty finansowej, w tym gospodarczej lub utraty dochodu; </w:t>
      </w:r>
    </w:p>
    <w:p w14:paraId="78F01889" w14:textId="77777777" w:rsidR="00AA4513" w:rsidRPr="00543FDA" w:rsidRDefault="00AA4513" w:rsidP="00AA4513">
      <w:pPr>
        <w:pStyle w:val="Default"/>
        <w:jc w:val="both"/>
        <w:rPr>
          <w:rFonts w:ascii="Proxima Nova Light" w:hAnsi="Proxima Nova Light"/>
          <w:color w:val="auto"/>
          <w:sz w:val="22"/>
          <w:szCs w:val="22"/>
        </w:rPr>
      </w:pPr>
      <w:r w:rsidRPr="00543FDA">
        <w:rPr>
          <w:rFonts w:ascii="Proxima Nova Light" w:hAnsi="Proxima Nova Light"/>
          <w:color w:val="auto"/>
          <w:sz w:val="22"/>
          <w:szCs w:val="22"/>
        </w:rPr>
        <w:t xml:space="preserve">21) wyrządzeniu innej szkody niematerialnej, w tym naruszenia dóbr osobistych, w szczególności dobrego imienia </w:t>
      </w:r>
      <w:r>
        <w:rPr>
          <w:rFonts w:ascii="Proxima Nova Light" w:hAnsi="Proxima Nova Light"/>
          <w:color w:val="auto"/>
          <w:sz w:val="22"/>
          <w:szCs w:val="22"/>
        </w:rPr>
        <w:t>sygnalisty</w:t>
      </w:r>
      <w:r w:rsidRPr="00543FDA">
        <w:rPr>
          <w:rFonts w:ascii="Proxima Nova Light" w:hAnsi="Proxima Nova Light"/>
          <w:color w:val="auto"/>
          <w:sz w:val="22"/>
          <w:szCs w:val="22"/>
        </w:rPr>
        <w:t xml:space="preserve">. </w:t>
      </w:r>
    </w:p>
    <w:p w14:paraId="2DEA2DFE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</w:p>
    <w:p w14:paraId="0BF3243F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  <w:r>
        <w:rPr>
          <w:rFonts w:ascii="Proxima Nova Light" w:hAnsi="Proxima Nova Light"/>
        </w:rPr>
        <w:t xml:space="preserve">2. </w:t>
      </w:r>
      <w:r w:rsidRPr="00543FDA">
        <w:rPr>
          <w:rFonts w:ascii="Proxima Nova Light" w:hAnsi="Proxima Nova Light"/>
        </w:rPr>
        <w:t xml:space="preserve">Za działania odwetowe z powodu dokonania zgłoszenia lub ujawnienia publicznego uważa się także groźbę lub próbę zastosowania środka określonego </w:t>
      </w:r>
      <w:r>
        <w:rPr>
          <w:rFonts w:ascii="Proxima Nova Light" w:hAnsi="Proxima Nova Light"/>
        </w:rPr>
        <w:t>w punktach powyżej (1-21</w:t>
      </w:r>
      <w:r w:rsidRPr="00781550">
        <w:rPr>
          <w:rFonts w:ascii="Proxima Nova Light" w:hAnsi="Proxima Nova Light"/>
        </w:rPr>
        <w:t xml:space="preserve">). </w:t>
      </w:r>
    </w:p>
    <w:p w14:paraId="09C2367E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  <w:r>
        <w:rPr>
          <w:rFonts w:ascii="Proxima Nova Light" w:hAnsi="Proxima Nova Light"/>
        </w:rPr>
        <w:t>Na pracodawcy spoczywa ciężar dowodu, że działanie podjęte po zgłoszeniu nie jest działaniem odwetowym.</w:t>
      </w:r>
    </w:p>
    <w:p w14:paraId="7AB13CB0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</w:p>
    <w:p w14:paraId="7C721FA0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  <w:r>
        <w:rPr>
          <w:rFonts w:ascii="Proxima Nova Light" w:hAnsi="Proxima Nova Light"/>
        </w:rPr>
        <w:t xml:space="preserve">3. </w:t>
      </w:r>
      <w:r w:rsidRPr="00955FBE">
        <w:rPr>
          <w:rFonts w:ascii="Proxima Nova Light" w:hAnsi="Proxima Nova Light"/>
        </w:rPr>
        <w:t>Zakaz działań odwetowych obejmuje także osobę pomagającą w dokonaniu zgłoszenia, osobę powiązaną ze zgłaszającym, a także osobę prawną lub inną jednostkę organizacyjną pomagającą sygnaliście lub z nim powiązaną, w szczególności stanowiącą własność sygnalisty lub go zatrudniającą.</w:t>
      </w:r>
    </w:p>
    <w:p w14:paraId="41342859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</w:p>
    <w:p w14:paraId="08FCB57A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  <w:r>
        <w:rPr>
          <w:rFonts w:ascii="Proxima Nova Light" w:hAnsi="Proxima Nova Light"/>
        </w:rPr>
        <w:t xml:space="preserve">4. </w:t>
      </w:r>
      <w:r w:rsidRPr="00781550">
        <w:rPr>
          <w:rFonts w:ascii="Proxima Nova Light" w:hAnsi="Proxima Nova Light"/>
        </w:rPr>
        <w:t xml:space="preserve">Wszelkie działania dyscyplinujące wobec </w:t>
      </w:r>
      <w:r>
        <w:rPr>
          <w:rFonts w:ascii="Proxima Nova Light" w:hAnsi="Proxima Nova Light"/>
        </w:rPr>
        <w:t>sygnalisty, podjęte przed dokonaniem zgłoszenia i nadal trwające</w:t>
      </w:r>
      <w:r w:rsidRPr="00781550">
        <w:rPr>
          <w:rFonts w:ascii="Proxima Nova Light" w:hAnsi="Proxima Nova Light"/>
        </w:rPr>
        <w:t>), nie będą traktowane jako działania odwetowe.</w:t>
      </w:r>
      <w:r>
        <w:rPr>
          <w:rFonts w:ascii="Proxima Nova Light" w:hAnsi="Proxima Nova Light"/>
        </w:rPr>
        <w:t xml:space="preserve"> </w:t>
      </w:r>
    </w:p>
    <w:p w14:paraId="61CAC64F" w14:textId="77777777" w:rsidR="00AA4513" w:rsidRDefault="00AA4513" w:rsidP="00AA4513">
      <w:pPr>
        <w:spacing w:after="0" w:line="240" w:lineRule="auto"/>
        <w:jc w:val="both"/>
        <w:rPr>
          <w:rFonts w:ascii="Proxima Nova Light" w:hAnsi="Proxima Nova Light"/>
        </w:rPr>
      </w:pPr>
    </w:p>
    <w:p w14:paraId="3B26BF5C" w14:textId="2D741589" w:rsidR="00AA4513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5</w:t>
      </w:r>
      <w:r w:rsidRPr="00D84B90">
        <w:rPr>
          <w:rFonts w:ascii="Proxima Nova Light" w:eastAsia="Times New Roman" w:hAnsi="Proxima Nova Light" w:cs="Times New Roman"/>
          <w:lang w:eastAsia="pl-PL"/>
        </w:rPr>
        <w:t xml:space="preserve">. Jeżeli praca lub usługi były, są lub mają być świadczone na podstawie innego niż stosunek pracy stosunku prawnego stanowiącego podstawę świadczenia pracy lub usług lub pełnienia funkcji, lub pełnienia służby, </w:t>
      </w:r>
      <w:r>
        <w:rPr>
          <w:rFonts w:ascii="Proxima Nova Light" w:eastAsia="Times New Roman" w:hAnsi="Proxima Nova Light" w:cs="Times New Roman"/>
          <w:lang w:eastAsia="pl-PL"/>
        </w:rPr>
        <w:t>postanowienia ust. 1</w:t>
      </w:r>
      <w:r w:rsidR="00896E7F">
        <w:rPr>
          <w:rFonts w:ascii="Proxima Nova Light" w:eastAsia="Times New Roman" w:hAnsi="Proxima Nova Light" w:cs="Times New Roman"/>
          <w:lang w:eastAsia="pl-PL"/>
        </w:rPr>
        <w:t xml:space="preserve"> </w:t>
      </w:r>
      <w:r w:rsidRPr="00D84B90">
        <w:rPr>
          <w:rFonts w:ascii="Proxima Nova Light" w:eastAsia="Times New Roman" w:hAnsi="Proxima Nova Light" w:cs="Times New Roman"/>
          <w:lang w:eastAsia="pl-PL"/>
        </w:rPr>
        <w:t>stosuje się odpowiednio, o ile charakter świadczonej pracy lub usług lub pełnionej funkcji, lub pełnionej służby nie wyklucza zastosowania wobec sygnalisty takiego działania.</w:t>
      </w:r>
    </w:p>
    <w:p w14:paraId="5887ED29" w14:textId="77777777" w:rsidR="00AA4513" w:rsidRPr="00D84B90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</w:p>
    <w:p w14:paraId="71A21555" w14:textId="77777777" w:rsidR="00AA4513" w:rsidRPr="00D84B90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bookmarkStart w:id="0" w:name="mip74028859"/>
      <w:bookmarkEnd w:id="0"/>
      <w:r>
        <w:rPr>
          <w:rFonts w:ascii="Proxima Nova Light" w:eastAsia="Times New Roman" w:hAnsi="Proxima Nova Light" w:cs="Times New Roman"/>
          <w:lang w:eastAsia="pl-PL"/>
        </w:rPr>
        <w:t>6</w:t>
      </w:r>
      <w:r w:rsidRPr="00D84B90">
        <w:rPr>
          <w:rFonts w:ascii="Proxima Nova Light" w:eastAsia="Times New Roman" w:hAnsi="Proxima Nova Light" w:cs="Times New Roman"/>
          <w:lang w:eastAsia="pl-PL"/>
        </w:rPr>
        <w:t xml:space="preserve">. Jeżeli praca lub usługi były, są lub mają być świadczone na podstawie innego niż stosunek pracy stosunku prawnego stanowiącego podstawę świadczenia pracy lub usług lub pełnienia </w:t>
      </w:r>
      <w:r w:rsidRPr="00D84B90">
        <w:rPr>
          <w:rFonts w:ascii="Proxima Nova Light" w:eastAsia="Times New Roman" w:hAnsi="Proxima Nova Light" w:cs="Times New Roman"/>
          <w:lang w:eastAsia="pl-PL"/>
        </w:rPr>
        <w:lastRenderedPageBreak/>
        <w:t>funkcji, lub pełnienia służby, dokonanie zgłoszenia lub ujawnienia publicznego nie może stanowić podstawy działań odwetowych ani próby lub groźby zastosowania działań odwetowych, obejmujących w szczególności:</w:t>
      </w:r>
    </w:p>
    <w:p w14:paraId="72195D1B" w14:textId="77777777" w:rsidR="00AA4513" w:rsidRPr="00D84B90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bookmarkStart w:id="1" w:name="mip74028861"/>
      <w:bookmarkEnd w:id="1"/>
      <w:r>
        <w:rPr>
          <w:rFonts w:ascii="Proxima Nova Light" w:eastAsia="Times New Roman" w:hAnsi="Proxima Nova Light" w:cs="Times New Roman"/>
          <w:lang w:eastAsia="pl-PL"/>
        </w:rPr>
        <w:t>a</w:t>
      </w:r>
      <w:r w:rsidRPr="00D84B90">
        <w:rPr>
          <w:rFonts w:ascii="Proxima Nova Light" w:eastAsia="Times New Roman" w:hAnsi="Proxima Nova Light" w:cs="Times New Roman"/>
          <w:lang w:eastAsia="pl-PL"/>
        </w:rPr>
        <w:t>)</w:t>
      </w:r>
      <w:r>
        <w:rPr>
          <w:rFonts w:ascii="Proxima Nova Light" w:eastAsia="Times New Roman" w:hAnsi="Proxima Nova Light" w:cs="Times New Roman"/>
          <w:lang w:eastAsia="pl-PL"/>
        </w:rPr>
        <w:t xml:space="preserve"> </w:t>
      </w:r>
      <w:r w:rsidRPr="00D84B90">
        <w:rPr>
          <w:rFonts w:ascii="Proxima Nova Light" w:eastAsia="Times New Roman" w:hAnsi="Proxima Nova Light" w:cs="Times New Roman"/>
          <w:lang w:eastAsia="pl-PL"/>
        </w:rPr>
        <w:t> wypowiedzenie umowy, której stroną jest sygnalista, w szczególności dotyczącej sprzedaży lub dostawy towarów lub świadczenia usług, odstąpienie od takiej umowy lub rozwiązanie jej bez wypowiedzenia;</w:t>
      </w:r>
    </w:p>
    <w:p w14:paraId="5215BF22" w14:textId="77777777" w:rsidR="00AA4513" w:rsidRPr="00D84B90" w:rsidRDefault="00AA4513" w:rsidP="00AA4513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bookmarkStart w:id="2" w:name="mip74028862"/>
      <w:bookmarkEnd w:id="2"/>
      <w:r>
        <w:rPr>
          <w:rFonts w:ascii="Proxima Nova Light" w:eastAsia="Times New Roman" w:hAnsi="Proxima Nova Light" w:cs="Times New Roman"/>
          <w:lang w:eastAsia="pl-PL"/>
        </w:rPr>
        <w:t>b</w:t>
      </w:r>
      <w:r w:rsidRPr="00D84B90">
        <w:rPr>
          <w:rFonts w:ascii="Proxima Nova Light" w:eastAsia="Times New Roman" w:hAnsi="Proxima Nova Light" w:cs="Times New Roman"/>
          <w:lang w:eastAsia="pl-PL"/>
        </w:rPr>
        <w:t>) nałożenie obowiązku lub odmowę przyznania, ograniczenie lub odebranie uprawnienia, w szczególności koncesji, zezwolenia lub ulgi.</w:t>
      </w:r>
    </w:p>
    <w:p w14:paraId="1E17102C" w14:textId="77777777" w:rsidR="00A93E0B" w:rsidRDefault="00A93E0B" w:rsidP="00A93E0B">
      <w:pPr>
        <w:spacing w:after="0" w:line="240" w:lineRule="auto"/>
        <w:jc w:val="both"/>
        <w:rPr>
          <w:rFonts w:ascii="Proxima Nova Light" w:eastAsia="Times New Roman" w:hAnsi="Proxima Nova Light" w:cs="Times New Roman"/>
          <w:b/>
          <w:bCs/>
          <w:lang w:eastAsia="pl-PL"/>
        </w:rPr>
      </w:pPr>
    </w:p>
    <w:p w14:paraId="60F1BE2C" w14:textId="7E159C38" w:rsidR="00A93E0B" w:rsidRPr="00A93E0B" w:rsidRDefault="00A93E0B" w:rsidP="00A93E0B">
      <w:pPr>
        <w:spacing w:after="0" w:line="240" w:lineRule="auto"/>
        <w:jc w:val="both"/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</w:pPr>
      <w:r w:rsidRPr="00A93E0B"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  <w:t>Ochrona danych osobowych</w:t>
      </w:r>
    </w:p>
    <w:p w14:paraId="351986A9" w14:textId="77777777" w:rsidR="00A93E0B" w:rsidRDefault="00A93E0B" w:rsidP="00A93E0B">
      <w:pPr>
        <w:spacing w:after="0" w:line="240" w:lineRule="auto"/>
        <w:ind w:left="360"/>
        <w:jc w:val="both"/>
        <w:rPr>
          <w:rFonts w:ascii="Proxima Nova Light" w:eastAsia="Times New Roman" w:hAnsi="Proxima Nova Light" w:cs="Times New Roman"/>
          <w:lang w:eastAsia="pl-PL"/>
        </w:rPr>
      </w:pPr>
    </w:p>
    <w:p w14:paraId="2F4FD1B8" w14:textId="77777777" w:rsidR="00A93E0B" w:rsidRDefault="00A93E0B" w:rsidP="00A93E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 w:rsidRPr="007E75EA">
        <w:rPr>
          <w:rFonts w:ascii="Proxima Nova Light" w:hAnsi="Proxima Nova Light" w:cs="Arial"/>
          <w:color w:val="2E2E38"/>
          <w:shd w:val="clear" w:color="auto" w:fill="FFFFFF"/>
        </w:rPr>
        <w:t>Przetwarzanie danych osobowych odbywa</w:t>
      </w:r>
      <w:r>
        <w:rPr>
          <w:rFonts w:ascii="Proxima Nova Light" w:hAnsi="Proxima Nova Light" w:cs="Arial"/>
          <w:color w:val="2E2E38"/>
          <w:shd w:val="clear" w:color="auto" w:fill="FFFFFF"/>
        </w:rPr>
        <w:t xml:space="preserve"> się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 xml:space="preserve"> zgodnie z RODO, a administrator danych zapewni</w:t>
      </w:r>
      <w:r>
        <w:rPr>
          <w:rFonts w:ascii="Proxima Nova Light" w:hAnsi="Proxima Nova Light" w:cs="Arial"/>
          <w:color w:val="2E2E38"/>
          <w:shd w:val="clear" w:color="auto" w:fill="FFFFFF"/>
        </w:rPr>
        <w:t>a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 xml:space="preserve"> ich poufność</w:t>
      </w:r>
      <w:r>
        <w:rPr>
          <w:rFonts w:ascii="Proxima Nova Light" w:hAnsi="Proxima Nova Light" w:cs="Arial"/>
          <w:color w:val="2E2E38"/>
          <w:shd w:val="clear" w:color="auto" w:fill="FFFFFF"/>
        </w:rPr>
        <w:t>.</w:t>
      </w:r>
    </w:p>
    <w:p w14:paraId="242D4EE5" w14:textId="733D8DB4" w:rsidR="00A93E0B" w:rsidRPr="007E75EA" w:rsidRDefault="00A93E0B" w:rsidP="00A93E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hAnsi="Proxima Nova Light" w:cs="Arial"/>
          <w:color w:val="2E2E38"/>
          <w:shd w:val="clear" w:color="auto" w:fill="FFFFFF"/>
        </w:rPr>
        <w:t>P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>rzetwarzanie danych osobowych osoby, której dotyczy zgłoszenie</w:t>
      </w:r>
      <w:r>
        <w:rPr>
          <w:rFonts w:ascii="Proxima Nova Light" w:hAnsi="Proxima Nova Light" w:cs="Arial"/>
          <w:color w:val="2E2E38"/>
          <w:shd w:val="clear" w:color="auto" w:fill="FFFFFF"/>
        </w:rPr>
        <w:t>,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 xml:space="preserve"> może odbywać się bez zgody tej osoby.</w:t>
      </w:r>
    </w:p>
    <w:p w14:paraId="793872DE" w14:textId="77777777" w:rsidR="00A93E0B" w:rsidRPr="00371A1E" w:rsidRDefault="00A93E0B" w:rsidP="00A93E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hAnsi="Proxima Nova Light" w:cs="Arial"/>
          <w:color w:val="2E2E38"/>
          <w:shd w:val="clear" w:color="auto" w:fill="FFFFFF"/>
        </w:rPr>
        <w:t>A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 xml:space="preserve">dministrator danych </w:t>
      </w:r>
      <w:r>
        <w:rPr>
          <w:rFonts w:ascii="Proxima Nova Light" w:hAnsi="Proxima Nova Light" w:cs="Arial"/>
          <w:color w:val="2E2E38"/>
          <w:shd w:val="clear" w:color="auto" w:fill="FFFFFF"/>
        </w:rPr>
        <w:t xml:space="preserve">osobowych 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>nie</w:t>
      </w:r>
      <w:r>
        <w:rPr>
          <w:rFonts w:ascii="Proxima Nova Light" w:hAnsi="Proxima Nova Light" w:cs="Arial"/>
          <w:color w:val="2E2E38"/>
          <w:shd w:val="clear" w:color="auto" w:fill="FFFFFF"/>
        </w:rPr>
        <w:t xml:space="preserve"> 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 xml:space="preserve">musi informować osoby, której dotyczy zgłoszenie o źródle pochodzeniach danych, chyba że okaże się, iż </w:t>
      </w:r>
      <w:r>
        <w:rPr>
          <w:rFonts w:ascii="Proxima Nova Light" w:hAnsi="Proxima Nova Light" w:cs="Arial"/>
          <w:color w:val="2E2E38"/>
          <w:shd w:val="clear" w:color="auto" w:fill="FFFFFF"/>
        </w:rPr>
        <w:t xml:space="preserve">sygnalista 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>działał w złej wierze.</w:t>
      </w:r>
    </w:p>
    <w:p w14:paraId="059B9A06" w14:textId="77777777" w:rsidR="00A93E0B" w:rsidRPr="007E75EA" w:rsidRDefault="00A93E0B" w:rsidP="00A93E0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hAnsi="Proxima Nova Light" w:cs="Arial"/>
          <w:color w:val="2E2E38"/>
          <w:shd w:val="clear" w:color="auto" w:fill="FFFFFF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662CD4EF" w14:textId="6C1DB0A7" w:rsidR="00A93E0B" w:rsidRPr="001805C5" w:rsidRDefault="00A93E0B" w:rsidP="001805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hAnsi="Proxima Nova Light" w:cs="Arial"/>
          <w:color w:val="2E2E38"/>
          <w:shd w:val="clear" w:color="auto" w:fill="FFFFFF"/>
        </w:rPr>
        <w:t>D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>o procesu przyjmowania i weryfikacji zgłoszeń, podejmowania działań następczych oraz przetwarzania danych osobowych, uprawnione są wyłącznie takie os</w:t>
      </w:r>
      <w:r>
        <w:rPr>
          <w:rFonts w:ascii="Proxima Nova Light" w:hAnsi="Proxima Nova Light" w:cs="Arial"/>
          <w:color w:val="2E2E38"/>
          <w:shd w:val="clear" w:color="auto" w:fill="FFFFFF"/>
        </w:rPr>
        <w:t>o</w:t>
      </w:r>
      <w:r w:rsidRPr="007E75EA">
        <w:rPr>
          <w:rFonts w:ascii="Proxima Nova Light" w:hAnsi="Proxima Nova Light" w:cs="Arial"/>
          <w:color w:val="2E2E38"/>
          <w:shd w:val="clear" w:color="auto" w:fill="FFFFFF"/>
        </w:rPr>
        <w:t>by, które posiadają pisemne upoważnienie pracodawcy.</w:t>
      </w:r>
    </w:p>
    <w:p w14:paraId="382ABCE7" w14:textId="77777777" w:rsidR="001805C5" w:rsidRPr="001805C5" w:rsidRDefault="001805C5" w:rsidP="001805C5">
      <w:pPr>
        <w:pStyle w:val="Akapitzlist"/>
        <w:spacing w:after="0" w:line="240" w:lineRule="auto"/>
        <w:ind w:left="397"/>
        <w:jc w:val="both"/>
        <w:rPr>
          <w:rFonts w:ascii="Proxima Nova Light" w:eastAsia="Times New Roman" w:hAnsi="Proxima Nova Light" w:cs="Times New Roman"/>
          <w:lang w:eastAsia="pl-PL"/>
        </w:rPr>
      </w:pPr>
    </w:p>
    <w:p w14:paraId="20E5F6B2" w14:textId="77777777" w:rsidR="001805C5" w:rsidRPr="001805C5" w:rsidRDefault="001805C5" w:rsidP="001805C5">
      <w:pPr>
        <w:spacing w:after="0" w:line="240" w:lineRule="auto"/>
        <w:jc w:val="both"/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</w:pPr>
      <w:r w:rsidRPr="001805C5">
        <w:rPr>
          <w:rFonts w:ascii="Proxima Nova Light" w:eastAsia="Times New Roman" w:hAnsi="Proxima Nova Light" w:cs="Times New Roman"/>
          <w:b/>
          <w:bCs/>
          <w:sz w:val="28"/>
          <w:szCs w:val="28"/>
          <w:lang w:eastAsia="pl-PL"/>
        </w:rPr>
        <w:t>Działania niezgodne z ustawą – przepisy karne</w:t>
      </w:r>
    </w:p>
    <w:p w14:paraId="3135D97D" w14:textId="77777777" w:rsidR="001805C5" w:rsidRDefault="001805C5" w:rsidP="001805C5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</w:p>
    <w:p w14:paraId="79E56D8B" w14:textId="77777777" w:rsidR="001805C5" w:rsidRPr="00DF5B00" w:rsidRDefault="001805C5" w:rsidP="001805C5">
      <w:pPr>
        <w:spacing w:after="0" w:line="240" w:lineRule="auto"/>
        <w:jc w:val="both"/>
        <w:rPr>
          <w:rFonts w:ascii="Proxima Nova Light" w:eastAsia="Times New Roman" w:hAnsi="Proxima Nova Light" w:cs="Times New Roman"/>
          <w:lang w:eastAsia="pl-PL"/>
        </w:rPr>
      </w:pPr>
      <w:r>
        <w:rPr>
          <w:rFonts w:ascii="Proxima Nova Light" w:eastAsia="Times New Roman" w:hAnsi="Proxima Nova Light" w:cs="Times New Roman"/>
          <w:lang w:eastAsia="pl-PL"/>
        </w:rPr>
        <w:t>Na mocy ustawy następujące działania są zagrożone karą:</w:t>
      </w:r>
    </w:p>
    <w:p w14:paraId="71A8653B" w14:textId="77777777" w:rsidR="001805C5" w:rsidRPr="00371A1E" w:rsidRDefault="001805C5" w:rsidP="001805C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Proxima Nova Light" w:eastAsia="Times New Roman" w:hAnsi="Proxima Nova Light" w:cs="Times New Roman"/>
          <w:color w:val="000000"/>
          <w:lang w:eastAsia="pl-PL"/>
        </w:rPr>
      </w:pPr>
      <w:r w:rsidRPr="00C26BEF"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 xml:space="preserve">utrudnianie </w:t>
      </w:r>
      <w:r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 xml:space="preserve">lub uniemożliwianie </w:t>
      </w:r>
      <w:r w:rsidRPr="00C26BEF"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 xml:space="preserve">dokonania zgłoszenia </w:t>
      </w:r>
      <w:r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>– podlega grzywnie, karze ograniczenia wolności albo pozbawienia wolności do roku,</w:t>
      </w:r>
    </w:p>
    <w:p w14:paraId="64406C76" w14:textId="77777777" w:rsidR="001805C5" w:rsidRPr="00C26BEF" w:rsidRDefault="001805C5" w:rsidP="001805C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Proxima Nova Light" w:eastAsia="Times New Roman" w:hAnsi="Proxima Nova Light" w:cs="Times New Roman"/>
          <w:color w:val="000000"/>
          <w:lang w:eastAsia="pl-PL"/>
        </w:rPr>
      </w:pPr>
      <w:r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>stosowanie wobec osoby planującej dokonanie zgłoszenia przemocy, gróźb lub podstępu – podlega karze pozbawienia wolności do lat 3</w:t>
      </w:r>
    </w:p>
    <w:p w14:paraId="168DD797" w14:textId="77777777" w:rsidR="001805C5" w:rsidRPr="00C26BEF" w:rsidRDefault="001805C5" w:rsidP="001805C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Proxima Nova Light" w:eastAsia="Times New Roman" w:hAnsi="Proxima Nova Light" w:cs="Times New Roman"/>
          <w:color w:val="000000"/>
          <w:lang w:eastAsia="pl-PL"/>
        </w:rPr>
      </w:pPr>
      <w:r w:rsidRPr="00C26BEF"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 xml:space="preserve">podejmowanie działań odwetowych wobec osoby, która dokonała zgłoszenia </w:t>
      </w:r>
      <w:r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>lub osoby powiązanej z sygnalistą – podlega grzywnie, karze ograniczenia wolności albo pozbawienia wolności do lat 2, a jeśli ktoś działa w sposób uporczywy podlega karze pozbawienia wolności do lat 3</w:t>
      </w:r>
    </w:p>
    <w:p w14:paraId="5A9484D6" w14:textId="77777777" w:rsidR="001805C5" w:rsidRPr="00C26BEF" w:rsidRDefault="001805C5" w:rsidP="001805C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Proxima Nova Light" w:eastAsia="Times New Roman" w:hAnsi="Proxima Nova Light" w:cs="Times New Roman"/>
          <w:color w:val="000000"/>
          <w:lang w:eastAsia="pl-PL"/>
        </w:rPr>
      </w:pPr>
      <w:r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>kto ujawnia tożsamość sygnalisty, osoby pomagającej w dokonaniu zgłoszenia lub osoby powiązanej z sygnalistą – podlega grzywnie, karze ograniczenia wolności albo pozbawienia wolności do roku</w:t>
      </w:r>
    </w:p>
    <w:p w14:paraId="0EB8DC70" w14:textId="77777777" w:rsidR="001805C5" w:rsidRPr="00532CE8" w:rsidRDefault="001805C5" w:rsidP="001805C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Proxima Nova Light" w:eastAsia="Times New Roman" w:hAnsi="Proxima Nova Light" w:cs="Times New Roman"/>
          <w:color w:val="000000"/>
          <w:lang w:eastAsia="pl-PL"/>
        </w:rPr>
      </w:pPr>
      <w:r>
        <w:rPr>
          <w:rFonts w:ascii="Proxima Nova Light" w:eastAsia="Times New Roman" w:hAnsi="Proxima Nova Light" w:cs="Times New Roman"/>
          <w:color w:val="000000"/>
          <w:bdr w:val="none" w:sz="0" w:space="0" w:color="auto" w:frame="1"/>
          <w:lang w:eastAsia="pl-PL"/>
        </w:rPr>
        <w:t>kto dokonuje zgłoszenia lub ujawnienia publicznego, wiedząc, że do naruszenia prawa nie doszło – podlega grzywnie, karze ograniczenia wolności albo pozbawienia wolności do lat 2</w:t>
      </w:r>
    </w:p>
    <w:p w14:paraId="2BF2E91E" w14:textId="77777777" w:rsidR="001805C5" w:rsidRDefault="001805C5"/>
    <w:sectPr w:rsidR="0018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 Light">
    <w:panose1 w:val="02000506030000020004"/>
    <w:charset w:val="EE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4CAF"/>
    <w:multiLevelType w:val="hybridMultilevel"/>
    <w:tmpl w:val="431E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4668"/>
    <w:multiLevelType w:val="hybridMultilevel"/>
    <w:tmpl w:val="71B0FC06"/>
    <w:lvl w:ilvl="0" w:tplc="04150005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BD311C"/>
    <w:multiLevelType w:val="hybridMultilevel"/>
    <w:tmpl w:val="F3FCD1FA"/>
    <w:lvl w:ilvl="0" w:tplc="0DF25EA0">
      <w:start w:val="1"/>
      <w:numFmt w:val="decimal"/>
      <w:lvlText w:val="%1)"/>
      <w:lvlJc w:val="left"/>
      <w:pPr>
        <w:ind w:left="397" w:hanging="397"/>
      </w:pPr>
      <w:rPr>
        <w:rFonts w:ascii="Proxima Nova Light" w:hAnsi="Proxima Nova Light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30AA0"/>
    <w:multiLevelType w:val="hybridMultilevel"/>
    <w:tmpl w:val="001C762C"/>
    <w:lvl w:ilvl="0" w:tplc="AF527FC6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87525"/>
    <w:multiLevelType w:val="hybridMultilevel"/>
    <w:tmpl w:val="DA4AC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31083">
    <w:abstractNumId w:val="0"/>
  </w:num>
  <w:num w:numId="2" w16cid:durableId="2114744718">
    <w:abstractNumId w:val="2"/>
  </w:num>
  <w:num w:numId="3" w16cid:durableId="562714326">
    <w:abstractNumId w:val="4"/>
  </w:num>
  <w:num w:numId="4" w16cid:durableId="1735590154">
    <w:abstractNumId w:val="3"/>
  </w:num>
  <w:num w:numId="5" w16cid:durableId="102559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46"/>
    <w:rsid w:val="001805C5"/>
    <w:rsid w:val="002C28D9"/>
    <w:rsid w:val="00896E7F"/>
    <w:rsid w:val="008C0E46"/>
    <w:rsid w:val="00A93E0B"/>
    <w:rsid w:val="00AA4513"/>
    <w:rsid w:val="00B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D2D7"/>
  <w15:chartTrackingRefBased/>
  <w15:docId w15:val="{22298050-5F7F-4D02-9390-B73D22A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0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0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0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0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0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0E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0E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0E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0E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0E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0E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0E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0E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0E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0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0E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0E4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A4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Iwona</dc:creator>
  <cp:keywords/>
  <dc:description/>
  <cp:lastModifiedBy>Jasińska Iwona</cp:lastModifiedBy>
  <cp:revision>1</cp:revision>
  <dcterms:created xsi:type="dcterms:W3CDTF">2024-09-17T07:51:00Z</dcterms:created>
  <dcterms:modified xsi:type="dcterms:W3CDTF">2024-09-17T09:09:00Z</dcterms:modified>
</cp:coreProperties>
</file>